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C3C" w:rsidRDefault="009B3C3C" w:rsidP="009B3C3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B3C3C" w:rsidRDefault="009B3C3C" w:rsidP="009B3C3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B3C3C" w:rsidRDefault="009B3C3C" w:rsidP="009B3C3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B3C3C" w:rsidRDefault="009B3C3C" w:rsidP="009B3C3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B3C3C" w:rsidRDefault="009B3C3C" w:rsidP="009B3C3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B3C3C" w:rsidRDefault="009B3C3C" w:rsidP="009B3C3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B3C3C" w:rsidRDefault="009B3C3C" w:rsidP="009B3C3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B3C3C" w:rsidRDefault="009B3C3C" w:rsidP="009B3C3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B3C3C" w:rsidRDefault="009B3C3C" w:rsidP="009B3C3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B3C3C" w:rsidRDefault="009B3C3C" w:rsidP="009B3C3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B3C3C" w:rsidRDefault="009B3C3C" w:rsidP="009B3C3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</w:t>
      </w:r>
      <w:r w:rsidR="001D2DD4">
        <w:rPr>
          <w:rFonts w:ascii="Times New Roman" w:hAnsi="Times New Roman"/>
          <w:sz w:val="24"/>
          <w:szCs w:val="24"/>
          <w:lang w:val="en-US"/>
        </w:rPr>
        <w:t>ontingent L</w:t>
      </w:r>
      <w:r>
        <w:rPr>
          <w:rFonts w:ascii="Times New Roman" w:hAnsi="Times New Roman"/>
          <w:sz w:val="24"/>
          <w:szCs w:val="24"/>
          <w:lang w:val="en-US"/>
        </w:rPr>
        <w:t>iability</w:t>
      </w:r>
    </w:p>
    <w:p w:rsidR="009B3C3C" w:rsidRDefault="009B3C3C" w:rsidP="009B3C3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Student’s name:</w:t>
      </w:r>
    </w:p>
    <w:p w:rsidR="009B3C3C" w:rsidRDefault="009B3C3C" w:rsidP="009B3C3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Professor’s name:</w:t>
      </w:r>
    </w:p>
    <w:p w:rsidR="009B3C3C" w:rsidRDefault="009B3C3C" w:rsidP="009B3C3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Institution of affiliation:</w:t>
      </w:r>
    </w:p>
    <w:p w:rsidR="009B3C3C" w:rsidRDefault="009B3C3C" w:rsidP="009B3C3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Course:</w:t>
      </w:r>
    </w:p>
    <w:p w:rsidR="009B3C3C" w:rsidRDefault="009B3C3C" w:rsidP="009B3C3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Date:</w:t>
      </w:r>
    </w:p>
    <w:p w:rsidR="009B3C3C" w:rsidRDefault="009B3C3C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 w:type="page"/>
      </w:r>
    </w:p>
    <w:p w:rsidR="008E21ED" w:rsidRDefault="000E05A7" w:rsidP="008E21ED">
      <w:pPr>
        <w:ind w:firstLine="72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 xml:space="preserve">Contingent liability refers to a liability that </w:t>
      </w:r>
      <w:r w:rsidR="00530DFA">
        <w:rPr>
          <w:rFonts w:ascii="Times New Roman" w:hAnsi="Times New Roman"/>
          <w:sz w:val="24"/>
          <w:szCs w:val="24"/>
          <w:lang w:val="en-US"/>
        </w:rPr>
        <w:t>is</w:t>
      </w:r>
      <w:r>
        <w:rPr>
          <w:rFonts w:ascii="Times New Roman" w:hAnsi="Times New Roman"/>
          <w:sz w:val="24"/>
          <w:szCs w:val="24"/>
          <w:lang w:val="en-US"/>
        </w:rPr>
        <w:t xml:space="preserve"> likely to occur following an outcome of an uncertain future event happening. It </w:t>
      </w:r>
      <w:r w:rsidR="00530DFA">
        <w:rPr>
          <w:rFonts w:ascii="Times New Roman" w:hAnsi="Times New Roman"/>
          <w:sz w:val="24"/>
          <w:szCs w:val="24"/>
          <w:lang w:val="en-US"/>
        </w:rPr>
        <w:t xml:space="preserve">is </w:t>
      </w:r>
      <w:r>
        <w:rPr>
          <w:rFonts w:ascii="Times New Roman" w:hAnsi="Times New Roman"/>
          <w:sz w:val="24"/>
          <w:szCs w:val="24"/>
          <w:lang w:val="en-US"/>
        </w:rPr>
        <w:t>more often recorded</w:t>
      </w:r>
      <w:r w:rsidR="00040431">
        <w:rPr>
          <w:rFonts w:ascii="Times New Roman" w:hAnsi="Times New Roman"/>
          <w:sz w:val="24"/>
          <w:szCs w:val="24"/>
          <w:lang w:val="en-US"/>
        </w:rPr>
        <w:t xml:space="preserve"> in the accounting book</w:t>
      </w:r>
      <w:r>
        <w:rPr>
          <w:rFonts w:ascii="Times New Roman" w:hAnsi="Times New Roman"/>
          <w:sz w:val="24"/>
          <w:szCs w:val="24"/>
          <w:lang w:val="en-US"/>
        </w:rPr>
        <w:t xml:space="preserve"> when </w:t>
      </w:r>
      <w:r w:rsidR="00530DFA">
        <w:rPr>
          <w:rFonts w:ascii="Times New Roman" w:hAnsi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/>
          <w:sz w:val="24"/>
          <w:szCs w:val="24"/>
          <w:lang w:val="en-US"/>
        </w:rPr>
        <w:t>contingency is likely</w:t>
      </w:r>
      <w:r w:rsidR="00530DFA">
        <w:rPr>
          <w:rFonts w:ascii="Times New Roman" w:hAnsi="Times New Roman"/>
          <w:sz w:val="24"/>
          <w:szCs w:val="24"/>
          <w:lang w:val="en-US"/>
        </w:rPr>
        <w:t>,</w:t>
      </w:r>
      <w:r>
        <w:rPr>
          <w:rFonts w:ascii="Times New Roman" w:hAnsi="Times New Roman"/>
          <w:sz w:val="24"/>
          <w:szCs w:val="24"/>
          <w:lang w:val="en-US"/>
        </w:rPr>
        <w:t xml:space="preserve"> and the </w:t>
      </w:r>
      <w:r w:rsidR="00040431">
        <w:rPr>
          <w:rFonts w:ascii="Times New Roman" w:hAnsi="Times New Roman"/>
          <w:sz w:val="24"/>
          <w:szCs w:val="24"/>
          <w:lang w:val="en-US"/>
        </w:rPr>
        <w:t>amount proposed as liability can easily be assessed and estimated</w:t>
      </w:r>
      <w:r w:rsidR="001C51E1"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 w:rsidR="001C51E1" w:rsidRPr="001C51E1">
        <w:rPr>
          <w:rFonts w:ascii="Times New Roman" w:hAnsi="Times New Roman" w:cs="Times New Roman"/>
          <w:sz w:val="24"/>
          <w:szCs w:val="24"/>
        </w:rPr>
        <w:t>Dempster</w:t>
      </w:r>
      <w:proofErr w:type="spellEnd"/>
      <w:r w:rsidR="001C51E1" w:rsidRPr="001C51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C51E1">
        <w:rPr>
          <w:rFonts w:ascii="Times New Roman" w:hAnsi="Times New Roman" w:cs="Times New Roman"/>
          <w:sz w:val="24"/>
          <w:szCs w:val="24"/>
          <w:shd w:val="clear" w:color="auto" w:fill="FFFFFF"/>
        </w:rPr>
        <w:t>et al., 2003). T</w:t>
      </w:r>
      <w:r w:rsidR="00040431">
        <w:rPr>
          <w:rFonts w:ascii="Times New Roman" w:hAnsi="Times New Roman"/>
          <w:sz w:val="24"/>
          <w:szCs w:val="24"/>
          <w:lang w:val="en-US"/>
        </w:rPr>
        <w:t xml:space="preserve">he contingent liability depends on </w:t>
      </w:r>
      <w:r w:rsidR="00530DFA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040431">
        <w:rPr>
          <w:rFonts w:ascii="Times New Roman" w:hAnsi="Times New Roman"/>
          <w:sz w:val="24"/>
          <w:szCs w:val="24"/>
          <w:lang w:val="en-US"/>
        </w:rPr>
        <w:t xml:space="preserve">probability of future events occurring or failure to occur. </w:t>
      </w:r>
    </w:p>
    <w:p w:rsidR="009B3C3C" w:rsidRDefault="00040431" w:rsidP="008E21ED">
      <w:pPr>
        <w:ind w:firstLine="72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The most common example of contingency </w:t>
      </w:r>
      <w:r w:rsidR="00530DFA">
        <w:rPr>
          <w:rFonts w:ascii="Times New Roman" w:hAnsi="Times New Roman"/>
          <w:sz w:val="24"/>
          <w:szCs w:val="24"/>
          <w:lang w:val="en-US"/>
        </w:rPr>
        <w:t>is</w:t>
      </w:r>
      <w:r>
        <w:rPr>
          <w:rFonts w:ascii="Times New Roman" w:hAnsi="Times New Roman"/>
          <w:sz w:val="24"/>
          <w:szCs w:val="24"/>
          <w:lang w:val="en-US"/>
        </w:rPr>
        <w:t xml:space="preserve"> the specified warrant </w:t>
      </w:r>
      <w:r w:rsidR="0090095A">
        <w:rPr>
          <w:rFonts w:ascii="Times New Roman" w:hAnsi="Times New Roman"/>
          <w:sz w:val="24"/>
          <w:szCs w:val="24"/>
          <w:lang w:val="en-US"/>
        </w:rPr>
        <w:t>on products, outstanding lawsuits</w:t>
      </w:r>
      <w:r w:rsidR="00530DFA">
        <w:rPr>
          <w:rFonts w:ascii="Times New Roman" w:hAnsi="Times New Roman"/>
          <w:sz w:val="24"/>
          <w:szCs w:val="24"/>
          <w:lang w:val="en-US"/>
        </w:rPr>
        <w:t>,</w:t>
      </w:r>
      <w:r w:rsidR="0090095A">
        <w:rPr>
          <w:rFonts w:ascii="Times New Roman" w:hAnsi="Times New Roman"/>
          <w:sz w:val="24"/>
          <w:szCs w:val="24"/>
          <w:lang w:val="en-US"/>
        </w:rPr>
        <w:t xml:space="preserve"> and various government probes. For instance, a person may decide to file a claim towards the organization,</w:t>
      </w:r>
      <w:r w:rsidR="00530DFA">
        <w:rPr>
          <w:rFonts w:ascii="Times New Roman" w:hAnsi="Times New Roman"/>
          <w:sz w:val="24"/>
          <w:szCs w:val="24"/>
          <w:lang w:val="en-US"/>
        </w:rPr>
        <w:t xml:space="preserve"> and</w:t>
      </w:r>
      <w:r w:rsidR="0090095A">
        <w:rPr>
          <w:rFonts w:ascii="Times New Roman" w:hAnsi="Times New Roman"/>
          <w:sz w:val="24"/>
          <w:szCs w:val="24"/>
          <w:lang w:val="en-US"/>
        </w:rPr>
        <w:t xml:space="preserve"> then the organization is left with only one option of contingent liability. The claim liability is</w:t>
      </w:r>
      <w:r w:rsidR="00530DFA">
        <w:rPr>
          <w:rFonts w:ascii="Times New Roman" w:hAnsi="Times New Roman"/>
          <w:sz w:val="24"/>
          <w:szCs w:val="24"/>
          <w:lang w:val="en-US"/>
        </w:rPr>
        <w:t>,</w:t>
      </w:r>
      <w:r w:rsidR="0090095A">
        <w:rPr>
          <w:rFonts w:ascii="Times New Roman" w:hAnsi="Times New Roman"/>
          <w:sz w:val="24"/>
          <w:szCs w:val="24"/>
          <w:lang w:val="en-US"/>
        </w:rPr>
        <w:t xml:space="preserve"> however</w:t>
      </w:r>
      <w:r w:rsidR="00530DFA">
        <w:rPr>
          <w:rFonts w:ascii="Times New Roman" w:hAnsi="Times New Roman"/>
          <w:sz w:val="24"/>
          <w:szCs w:val="24"/>
          <w:lang w:val="en-US"/>
        </w:rPr>
        <w:t>,</w:t>
      </w:r>
      <w:r w:rsidR="0090095A">
        <w:rPr>
          <w:rFonts w:ascii="Times New Roman" w:hAnsi="Times New Roman"/>
          <w:sz w:val="24"/>
          <w:szCs w:val="24"/>
          <w:lang w:val="en-US"/>
        </w:rPr>
        <w:t xml:space="preserve"> reliant when the organization loses the claim. A company </w:t>
      </w:r>
      <w:r w:rsidR="00046F7D">
        <w:rPr>
          <w:rFonts w:ascii="Times New Roman" w:hAnsi="Times New Roman"/>
          <w:sz w:val="24"/>
          <w:szCs w:val="24"/>
          <w:lang w:val="en-US"/>
        </w:rPr>
        <w:t>having</w:t>
      </w:r>
      <w:r w:rsidR="0090095A">
        <w:rPr>
          <w:rFonts w:ascii="Times New Roman" w:hAnsi="Times New Roman"/>
          <w:sz w:val="24"/>
          <w:szCs w:val="24"/>
          <w:lang w:val="en-US"/>
        </w:rPr>
        <w:t xml:space="preserve"> few claims may be unpleasing</w:t>
      </w:r>
      <w:r w:rsidR="00046F7D">
        <w:rPr>
          <w:rFonts w:ascii="Times New Roman" w:hAnsi="Times New Roman"/>
          <w:sz w:val="24"/>
          <w:szCs w:val="24"/>
          <w:lang w:val="en-US"/>
        </w:rPr>
        <w:t xml:space="preserve"> suits and does not constitute </w:t>
      </w:r>
      <w:r w:rsidR="0090095A">
        <w:rPr>
          <w:rFonts w:ascii="Times New Roman" w:hAnsi="Times New Roman"/>
          <w:sz w:val="24"/>
          <w:szCs w:val="24"/>
          <w:lang w:val="en-US"/>
        </w:rPr>
        <w:t>the company</w:t>
      </w:r>
      <w:r w:rsidR="00046F7D">
        <w:rPr>
          <w:rFonts w:ascii="Times New Roman" w:hAnsi="Times New Roman"/>
          <w:sz w:val="24"/>
          <w:szCs w:val="24"/>
          <w:lang w:val="en-US"/>
        </w:rPr>
        <w:t xml:space="preserve"> liability. Ho</w:t>
      </w:r>
      <w:r w:rsidR="00530DFA">
        <w:rPr>
          <w:rFonts w:ascii="Times New Roman" w:hAnsi="Times New Roman"/>
          <w:sz w:val="24"/>
          <w:szCs w:val="24"/>
          <w:lang w:val="en-US"/>
        </w:rPr>
        <w:t xml:space="preserve">wever, on the </w:t>
      </w:r>
      <w:r w:rsidR="00046F7D">
        <w:rPr>
          <w:rFonts w:ascii="Times New Roman" w:hAnsi="Times New Roman"/>
          <w:sz w:val="24"/>
          <w:szCs w:val="24"/>
          <w:lang w:val="en-US"/>
        </w:rPr>
        <w:t>expectation of contingent liability and misfortune that are easily a</w:t>
      </w:r>
      <w:bookmarkStart w:id="0" w:name="_GoBack"/>
      <w:bookmarkEnd w:id="0"/>
      <w:r w:rsidR="00046F7D">
        <w:rPr>
          <w:rFonts w:ascii="Times New Roman" w:hAnsi="Times New Roman"/>
          <w:sz w:val="24"/>
          <w:szCs w:val="24"/>
          <w:lang w:val="en-US"/>
        </w:rPr>
        <w:t xml:space="preserve">ssessed, the resulting sum is </w:t>
      </w:r>
      <w:r w:rsidR="00530DFA">
        <w:rPr>
          <w:rFonts w:ascii="Times New Roman" w:hAnsi="Times New Roman"/>
          <w:sz w:val="24"/>
          <w:szCs w:val="24"/>
          <w:lang w:val="en-US"/>
        </w:rPr>
        <w:t>considered</w:t>
      </w:r>
      <w:r w:rsidR="00046F7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30DFA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046F7D">
        <w:rPr>
          <w:rFonts w:ascii="Times New Roman" w:hAnsi="Times New Roman"/>
          <w:sz w:val="24"/>
          <w:szCs w:val="24"/>
          <w:lang w:val="en-US"/>
        </w:rPr>
        <w:t xml:space="preserve">liability. </w:t>
      </w:r>
    </w:p>
    <w:p w:rsidR="00046F7D" w:rsidRDefault="00046F7D" w:rsidP="008E21ED">
      <w:pPr>
        <w:ind w:firstLine="72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A contingent liability </w:t>
      </w:r>
      <w:r w:rsidR="00530DFA">
        <w:rPr>
          <w:rFonts w:ascii="Times New Roman" w:hAnsi="Times New Roman"/>
          <w:sz w:val="24"/>
          <w:szCs w:val="24"/>
          <w:lang w:val="en-US"/>
        </w:rPr>
        <w:t xml:space="preserve">can </w:t>
      </w:r>
      <w:r w:rsidR="00685BB6">
        <w:rPr>
          <w:rFonts w:ascii="Times New Roman" w:hAnsi="Times New Roman"/>
          <w:sz w:val="24"/>
          <w:szCs w:val="24"/>
          <w:lang w:val="en-US"/>
        </w:rPr>
        <w:t xml:space="preserve">act as </w:t>
      </w:r>
      <w:r>
        <w:rPr>
          <w:rFonts w:ascii="Times New Roman" w:hAnsi="Times New Roman"/>
          <w:sz w:val="24"/>
          <w:szCs w:val="24"/>
          <w:lang w:val="en-US"/>
        </w:rPr>
        <w:t xml:space="preserve">a responsibility that a business has to undertake. </w:t>
      </w:r>
      <w:r w:rsidR="00685BB6">
        <w:rPr>
          <w:rFonts w:ascii="Times New Roman" w:hAnsi="Times New Roman"/>
          <w:sz w:val="24"/>
          <w:szCs w:val="24"/>
          <w:lang w:val="en-US"/>
        </w:rPr>
        <w:t>The approaches taken to deal with a contingent highly depend</w:t>
      </w:r>
      <w:r w:rsidR="00530DFA">
        <w:rPr>
          <w:rFonts w:ascii="Times New Roman" w:hAnsi="Times New Roman"/>
          <w:sz w:val="24"/>
          <w:szCs w:val="24"/>
          <w:lang w:val="en-US"/>
        </w:rPr>
        <w:t xml:space="preserve"> on the probability of liability occurring and the capacity</w:t>
      </w:r>
      <w:r w:rsidR="00685BB6">
        <w:rPr>
          <w:rFonts w:ascii="Times New Roman" w:hAnsi="Times New Roman"/>
          <w:sz w:val="24"/>
          <w:szCs w:val="24"/>
          <w:lang w:val="en-US"/>
        </w:rPr>
        <w:t xml:space="preserve"> to predict such occurrence. </w:t>
      </w:r>
    </w:p>
    <w:p w:rsidR="00685BB6" w:rsidRDefault="00685BB6" w:rsidP="008E21ED">
      <w:pPr>
        <w:ind w:firstLine="72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Not all liabilities qualify to be contingent liabilities</w:t>
      </w:r>
      <w:r w:rsidR="00530DFA">
        <w:rPr>
          <w:rFonts w:ascii="Times New Roman" w:hAnsi="Times New Roman"/>
          <w:sz w:val="24"/>
          <w:szCs w:val="24"/>
          <w:lang w:val="en-US"/>
        </w:rPr>
        <w:t>,</w:t>
      </w:r>
      <w:r>
        <w:rPr>
          <w:rFonts w:ascii="Times New Roman" w:hAnsi="Times New Roman"/>
          <w:sz w:val="24"/>
          <w:szCs w:val="24"/>
          <w:lang w:val="en-US"/>
        </w:rPr>
        <w:t xml:space="preserve"> such as few liabilities but </w:t>
      </w:r>
      <w:r w:rsidR="00530DFA">
        <w:rPr>
          <w:rFonts w:ascii="Times New Roman" w:hAnsi="Times New Roman"/>
          <w:sz w:val="24"/>
          <w:szCs w:val="24"/>
          <w:lang w:val="en-US"/>
        </w:rPr>
        <w:t>instead</w:t>
      </w:r>
      <w:r>
        <w:rPr>
          <w:rFonts w:ascii="Times New Roman" w:hAnsi="Times New Roman"/>
          <w:sz w:val="24"/>
          <w:szCs w:val="24"/>
          <w:lang w:val="en-US"/>
        </w:rPr>
        <w:t xml:space="preserve"> evaluated to meet the actual requirement.</w:t>
      </w:r>
      <w:r w:rsidR="00C24717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30DFA">
        <w:rPr>
          <w:rFonts w:ascii="Times New Roman" w:hAnsi="Times New Roman"/>
          <w:sz w:val="24"/>
          <w:szCs w:val="24"/>
          <w:lang w:val="en-US"/>
        </w:rPr>
        <w:t>The o</w:t>
      </w:r>
      <w:r w:rsidR="00C24717">
        <w:rPr>
          <w:rFonts w:ascii="Times New Roman" w:hAnsi="Times New Roman"/>
          <w:sz w:val="24"/>
          <w:szCs w:val="24"/>
          <w:lang w:val="en-US"/>
        </w:rPr>
        <w:t xml:space="preserve">peration performed </w:t>
      </w:r>
      <w:r w:rsidR="00530DFA">
        <w:rPr>
          <w:rFonts w:ascii="Times New Roman" w:hAnsi="Times New Roman"/>
          <w:sz w:val="24"/>
          <w:szCs w:val="24"/>
          <w:lang w:val="en-US"/>
        </w:rPr>
        <w:t>o</w:t>
      </w:r>
      <w:r w:rsidR="00C24717">
        <w:rPr>
          <w:rFonts w:ascii="Times New Roman" w:hAnsi="Times New Roman"/>
          <w:sz w:val="24"/>
          <w:szCs w:val="24"/>
          <w:lang w:val="en-US"/>
        </w:rPr>
        <w:t>n the premises</w:t>
      </w:r>
      <w:r w:rsidR="00530DFA">
        <w:rPr>
          <w:rFonts w:ascii="Times New Roman" w:hAnsi="Times New Roman"/>
          <w:sz w:val="24"/>
          <w:szCs w:val="24"/>
          <w:lang w:val="en-US"/>
        </w:rPr>
        <w:t>,</w:t>
      </w:r>
      <w:r w:rsidR="00C24717">
        <w:rPr>
          <w:rFonts w:ascii="Times New Roman" w:hAnsi="Times New Roman"/>
          <w:sz w:val="24"/>
          <w:szCs w:val="24"/>
          <w:lang w:val="en-US"/>
        </w:rPr>
        <w:t xml:space="preserve"> such as </w:t>
      </w:r>
      <w:r w:rsidR="00530DFA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C24717">
        <w:rPr>
          <w:rFonts w:ascii="Times New Roman" w:hAnsi="Times New Roman"/>
          <w:sz w:val="24"/>
          <w:szCs w:val="24"/>
          <w:lang w:val="en-US"/>
        </w:rPr>
        <w:t>premium on laborer, repairs</w:t>
      </w:r>
      <w:r w:rsidR="00530DFA">
        <w:rPr>
          <w:rFonts w:ascii="Times New Roman" w:hAnsi="Times New Roman"/>
          <w:sz w:val="24"/>
          <w:szCs w:val="24"/>
          <w:lang w:val="en-US"/>
        </w:rPr>
        <w:t>,</w:t>
      </w:r>
      <w:r w:rsidR="00C24717">
        <w:rPr>
          <w:rFonts w:ascii="Times New Roman" w:hAnsi="Times New Roman"/>
          <w:sz w:val="24"/>
          <w:szCs w:val="24"/>
          <w:lang w:val="en-US"/>
        </w:rPr>
        <w:t xml:space="preserve"> and charges on </w:t>
      </w:r>
      <w:r w:rsidR="00530DFA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C24717">
        <w:rPr>
          <w:rFonts w:ascii="Times New Roman" w:hAnsi="Times New Roman"/>
          <w:sz w:val="24"/>
          <w:szCs w:val="24"/>
          <w:lang w:val="en-US"/>
        </w:rPr>
        <w:t>property</w:t>
      </w:r>
      <w:r w:rsidR="00530DFA">
        <w:rPr>
          <w:rFonts w:ascii="Times New Roman" w:hAnsi="Times New Roman"/>
          <w:sz w:val="24"/>
          <w:szCs w:val="24"/>
          <w:lang w:val="en-US"/>
        </w:rPr>
        <w:t>,</w:t>
      </w:r>
      <w:r w:rsidR="00C24717">
        <w:rPr>
          <w:rFonts w:ascii="Times New Roman" w:hAnsi="Times New Roman"/>
          <w:sz w:val="24"/>
          <w:szCs w:val="24"/>
          <w:lang w:val="en-US"/>
        </w:rPr>
        <w:t xml:space="preserve"> has nothing to do with contingent as the actual sums are unknown during </w:t>
      </w:r>
      <w:r w:rsidR="00530DFA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C24717">
        <w:rPr>
          <w:rFonts w:ascii="Times New Roman" w:hAnsi="Times New Roman"/>
          <w:sz w:val="24"/>
          <w:szCs w:val="24"/>
          <w:lang w:val="en-US"/>
        </w:rPr>
        <w:t>budgeting process</w:t>
      </w:r>
      <w:r w:rsidR="00530DFA">
        <w:rPr>
          <w:rFonts w:ascii="Times New Roman" w:hAnsi="Times New Roman"/>
          <w:sz w:val="24"/>
          <w:szCs w:val="24"/>
          <w:lang w:val="en-US"/>
        </w:rPr>
        <w:t>;</w:t>
      </w:r>
      <w:r w:rsidR="00C24717">
        <w:rPr>
          <w:rFonts w:ascii="Times New Roman" w:hAnsi="Times New Roman"/>
          <w:sz w:val="24"/>
          <w:szCs w:val="24"/>
          <w:lang w:val="en-US"/>
        </w:rPr>
        <w:t xml:space="preserve"> therefore</w:t>
      </w:r>
      <w:r w:rsidR="00530DFA">
        <w:rPr>
          <w:rFonts w:ascii="Times New Roman" w:hAnsi="Times New Roman"/>
          <w:sz w:val="24"/>
          <w:szCs w:val="24"/>
          <w:lang w:val="en-US"/>
        </w:rPr>
        <w:t>,</w:t>
      </w:r>
      <w:r w:rsidR="00C24717">
        <w:rPr>
          <w:rFonts w:ascii="Times New Roman" w:hAnsi="Times New Roman"/>
          <w:sz w:val="24"/>
          <w:szCs w:val="24"/>
          <w:lang w:val="en-US"/>
        </w:rPr>
        <w:t xml:space="preserve"> such liabilities need to be recorded through evaluated sums. </w:t>
      </w:r>
    </w:p>
    <w:p w:rsidR="001C51E1" w:rsidRDefault="00C24717" w:rsidP="008E21ED">
      <w:pPr>
        <w:ind w:firstLine="72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The</w:t>
      </w:r>
      <w:r w:rsidR="00530DFA">
        <w:rPr>
          <w:rFonts w:ascii="Times New Roman" w:hAnsi="Times New Roman"/>
          <w:sz w:val="24"/>
          <w:szCs w:val="24"/>
          <w:lang w:val="en-US"/>
        </w:rPr>
        <w:t xml:space="preserve"> three GAAP specified </w:t>
      </w:r>
      <w:r>
        <w:rPr>
          <w:rFonts w:ascii="Times New Roman" w:hAnsi="Times New Roman"/>
          <w:sz w:val="24"/>
          <w:szCs w:val="24"/>
          <w:lang w:val="en-US"/>
        </w:rPr>
        <w:t xml:space="preserve">contingent liabilities include </w:t>
      </w:r>
      <w:r w:rsidR="001C51E1">
        <w:rPr>
          <w:rFonts w:ascii="Times New Roman" w:hAnsi="Times New Roman"/>
          <w:sz w:val="24"/>
          <w:szCs w:val="24"/>
          <w:lang w:val="en-US"/>
        </w:rPr>
        <w:t>possible, probable</w:t>
      </w:r>
      <w:r w:rsidR="00530DFA">
        <w:rPr>
          <w:rFonts w:ascii="Times New Roman" w:hAnsi="Times New Roman"/>
          <w:sz w:val="24"/>
          <w:szCs w:val="24"/>
          <w:lang w:val="en-US"/>
        </w:rPr>
        <w:t>,</w:t>
      </w:r>
      <w:r w:rsidR="001C51E1">
        <w:rPr>
          <w:rFonts w:ascii="Times New Roman" w:hAnsi="Times New Roman"/>
          <w:sz w:val="24"/>
          <w:szCs w:val="24"/>
          <w:lang w:val="en-US"/>
        </w:rPr>
        <w:t xml:space="preserve"> and remote according to the probability of occurrence. </w:t>
      </w:r>
      <w:r w:rsidR="00530DFA">
        <w:rPr>
          <w:rFonts w:ascii="Times New Roman" w:hAnsi="Times New Roman"/>
          <w:sz w:val="24"/>
          <w:szCs w:val="24"/>
          <w:lang w:val="en-US"/>
        </w:rPr>
        <w:t xml:space="preserve">The probable contingencies are more often likely to occur and can be estimated reasonably. </w:t>
      </w:r>
      <w:r w:rsidR="001C51E1">
        <w:rPr>
          <w:rFonts w:ascii="Times New Roman" w:hAnsi="Times New Roman"/>
          <w:sz w:val="24"/>
          <w:szCs w:val="24"/>
          <w:lang w:val="en-US"/>
        </w:rPr>
        <w:t xml:space="preserve">An exception </w:t>
      </w:r>
      <w:r w:rsidR="00530DFA">
        <w:rPr>
          <w:rFonts w:ascii="Times New Roman" w:hAnsi="Times New Roman"/>
          <w:sz w:val="24"/>
          <w:szCs w:val="24"/>
          <w:lang w:val="en-US"/>
        </w:rPr>
        <w:t>is</w:t>
      </w:r>
      <w:r w:rsidR="001C51E1">
        <w:rPr>
          <w:rFonts w:ascii="Times New Roman" w:hAnsi="Times New Roman"/>
          <w:sz w:val="24"/>
          <w:szCs w:val="24"/>
          <w:lang w:val="en-US"/>
        </w:rPr>
        <w:t xml:space="preserve"> the remote contingencies</w:t>
      </w:r>
      <w:r w:rsidR="00530DFA">
        <w:rPr>
          <w:rFonts w:ascii="Times New Roman" w:hAnsi="Times New Roman"/>
          <w:sz w:val="24"/>
          <w:szCs w:val="24"/>
          <w:lang w:val="en-US"/>
        </w:rPr>
        <w:t xml:space="preserve"> are unlikely to occur</w:t>
      </w:r>
      <w:r w:rsidR="00530DFA">
        <w:rPr>
          <w:rFonts w:ascii="Times New Roman" w:hAnsi="Times New Roman"/>
          <w:sz w:val="24"/>
          <w:szCs w:val="24"/>
          <w:lang w:val="en-US"/>
        </w:rPr>
        <w:t>.</w:t>
      </w:r>
      <w:r w:rsidR="00530DFA">
        <w:rPr>
          <w:rFonts w:ascii="Times New Roman" w:hAnsi="Times New Roman"/>
          <w:sz w:val="24"/>
          <w:szCs w:val="24"/>
          <w:lang w:val="en-US"/>
        </w:rPr>
        <w:t xml:space="preserve"> T</w:t>
      </w:r>
      <w:r w:rsidR="001C51E1">
        <w:rPr>
          <w:rFonts w:ascii="Times New Roman" w:hAnsi="Times New Roman"/>
          <w:sz w:val="24"/>
          <w:szCs w:val="24"/>
          <w:lang w:val="en-US"/>
        </w:rPr>
        <w:t>he rest form part of the financial statements and equally can be expressed as expense accrued on income statement or liability in the balance sheets (</w:t>
      </w:r>
      <w:r w:rsidR="001C51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Reis, </w:t>
      </w:r>
      <w:r w:rsidR="001C51E1" w:rsidRPr="001C51E1">
        <w:rPr>
          <w:rFonts w:ascii="Times New Roman" w:hAnsi="Times New Roman" w:cs="Times New Roman"/>
          <w:sz w:val="24"/>
          <w:szCs w:val="24"/>
          <w:shd w:val="clear" w:color="auto" w:fill="FFFFFF"/>
        </w:rPr>
        <w:t>2015). </w:t>
      </w:r>
    </w:p>
    <w:p w:rsidR="009B3C3C" w:rsidRDefault="001C51E1" w:rsidP="00042FF5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References</w:t>
      </w:r>
    </w:p>
    <w:p w:rsidR="009B3C3C" w:rsidRPr="001C51E1" w:rsidRDefault="009B3C3C" w:rsidP="009B3C3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361BC" w:rsidRDefault="005361BC" w:rsidP="001C51E1">
      <w:pPr>
        <w:ind w:left="720" w:hanging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1C51E1">
        <w:rPr>
          <w:rFonts w:ascii="Times New Roman" w:hAnsi="Times New Roman" w:cs="Times New Roman"/>
          <w:sz w:val="24"/>
          <w:szCs w:val="24"/>
        </w:rPr>
        <w:t>Dempster</w:t>
      </w:r>
      <w:proofErr w:type="spellEnd"/>
      <w:r w:rsidRPr="001C51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 A., </w:t>
      </w:r>
      <w:proofErr w:type="spellStart"/>
      <w:r w:rsidRPr="001C51E1">
        <w:rPr>
          <w:rFonts w:ascii="Times New Roman" w:hAnsi="Times New Roman" w:cs="Times New Roman"/>
          <w:sz w:val="24"/>
          <w:szCs w:val="24"/>
          <w:shd w:val="clear" w:color="auto" w:fill="FFFFFF"/>
        </w:rPr>
        <w:t>Germano</w:t>
      </w:r>
      <w:proofErr w:type="spellEnd"/>
      <w:r w:rsidRPr="001C51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M., </w:t>
      </w:r>
      <w:proofErr w:type="spellStart"/>
      <w:r w:rsidRPr="001C51E1">
        <w:rPr>
          <w:rFonts w:ascii="Times New Roman" w:hAnsi="Times New Roman" w:cs="Times New Roman"/>
          <w:sz w:val="24"/>
          <w:szCs w:val="24"/>
          <w:shd w:val="clear" w:color="auto" w:fill="FFFFFF"/>
        </w:rPr>
        <w:t>Medova</w:t>
      </w:r>
      <w:proofErr w:type="spellEnd"/>
      <w:r w:rsidRPr="001C51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E. A., &amp; </w:t>
      </w:r>
      <w:proofErr w:type="spellStart"/>
      <w:r w:rsidRPr="001C51E1">
        <w:rPr>
          <w:rFonts w:ascii="Times New Roman" w:hAnsi="Times New Roman" w:cs="Times New Roman"/>
          <w:sz w:val="24"/>
          <w:szCs w:val="24"/>
          <w:shd w:val="clear" w:color="auto" w:fill="FFFFFF"/>
        </w:rPr>
        <w:t>Villaverde</w:t>
      </w:r>
      <w:proofErr w:type="spellEnd"/>
      <w:r w:rsidRPr="001C51E1">
        <w:rPr>
          <w:rFonts w:ascii="Times New Roman" w:hAnsi="Times New Roman" w:cs="Times New Roman"/>
          <w:sz w:val="24"/>
          <w:szCs w:val="24"/>
          <w:shd w:val="clear" w:color="auto" w:fill="FFFFFF"/>
        </w:rPr>
        <w:t>, M. (2003). Global asset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1C51E1">
        <w:rPr>
          <w:rFonts w:ascii="Times New Roman" w:hAnsi="Times New Roman" w:cs="Times New Roman"/>
          <w:sz w:val="24"/>
          <w:szCs w:val="24"/>
          <w:shd w:val="clear" w:color="auto" w:fill="FFFFFF"/>
        </w:rPr>
        <w:t>liability management. </w:t>
      </w:r>
      <w:r w:rsidRPr="001C51E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British Actuarial Journal</w:t>
      </w:r>
      <w:r w:rsidRPr="001C51E1">
        <w:rPr>
          <w:rFonts w:ascii="Times New Roman" w:hAnsi="Times New Roman" w:cs="Times New Roman"/>
          <w:sz w:val="24"/>
          <w:szCs w:val="24"/>
          <w:shd w:val="clear" w:color="auto" w:fill="FFFFFF"/>
        </w:rPr>
        <w:t>, 137-216.</w:t>
      </w:r>
    </w:p>
    <w:p w:rsidR="005361BC" w:rsidRPr="005361BC" w:rsidRDefault="005361BC" w:rsidP="005361BC">
      <w:pPr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5361BC">
        <w:rPr>
          <w:rFonts w:ascii="Times New Roman" w:hAnsi="Times New Roman" w:cs="Times New Roman"/>
          <w:sz w:val="24"/>
          <w:szCs w:val="24"/>
        </w:rPr>
        <w:t>Financial Accounting (4th Edition) [Kemp, Robert, </w:t>
      </w:r>
      <w:proofErr w:type="spellStart"/>
      <w:r w:rsidRPr="005361BC">
        <w:rPr>
          <w:rFonts w:ascii="Times New Roman" w:hAnsi="Times New Roman" w:cs="Times New Roman"/>
          <w:sz w:val="24"/>
          <w:szCs w:val="24"/>
        </w:rPr>
        <w:t>Waybright</w:t>
      </w:r>
      <w:proofErr w:type="spellEnd"/>
      <w:r w:rsidRPr="005361BC">
        <w:rPr>
          <w:rFonts w:ascii="Times New Roman" w:hAnsi="Times New Roman" w:cs="Times New Roman"/>
          <w:sz w:val="24"/>
          <w:szCs w:val="24"/>
        </w:rPr>
        <w:t>, Jeffrey] on ... Financial Accounting,</w:t>
      </w:r>
    </w:p>
    <w:p w:rsidR="005361BC" w:rsidRDefault="005361BC" w:rsidP="001C51E1">
      <w:pPr>
        <w:ind w:left="720" w:hanging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C51E1">
        <w:rPr>
          <w:rFonts w:ascii="Times New Roman" w:hAnsi="Times New Roman" w:cs="Times New Roman"/>
          <w:sz w:val="24"/>
          <w:szCs w:val="24"/>
          <w:shd w:val="clear" w:color="auto" w:fill="FFFFFF"/>
        </w:rPr>
        <w:t>Reis, L. N. D. (2015). Provisions and contingent liabilities: a comparison between Portugal and the United Kingdom (Doctoral dissertation).</w:t>
      </w:r>
    </w:p>
    <w:sectPr w:rsidR="005361BC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C43" w:rsidRDefault="00DE1C43" w:rsidP="001C51E1">
      <w:pPr>
        <w:spacing w:line="240" w:lineRule="auto"/>
      </w:pPr>
      <w:r>
        <w:separator/>
      </w:r>
    </w:p>
  </w:endnote>
  <w:endnote w:type="continuationSeparator" w:id="0">
    <w:p w:rsidR="00DE1C43" w:rsidRDefault="00DE1C43" w:rsidP="001C51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C43" w:rsidRDefault="00DE1C43" w:rsidP="001C51E1">
      <w:pPr>
        <w:spacing w:line="240" w:lineRule="auto"/>
      </w:pPr>
      <w:r>
        <w:separator/>
      </w:r>
    </w:p>
  </w:footnote>
  <w:footnote w:type="continuationSeparator" w:id="0">
    <w:p w:rsidR="00DE1C43" w:rsidRDefault="00DE1C43" w:rsidP="001C51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7209215"/>
      <w:docPartObj>
        <w:docPartGallery w:val="Page Numbers (Top of Page)"/>
        <w:docPartUnique/>
      </w:docPartObj>
    </w:sdtPr>
    <w:sdtEndPr>
      <w:rPr>
        <w:noProof/>
      </w:rPr>
    </w:sdtEndPr>
    <w:sdtContent>
      <w:p w:rsidR="001C51E1" w:rsidRDefault="001C51E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21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C51E1" w:rsidRDefault="001C51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wMjI1NTU2MTE2NLVQ0lEKTi0uzszPAykwrAUA6iQJYSwAAAA="/>
  </w:docVars>
  <w:rsids>
    <w:rsidRoot w:val="009B3C3C"/>
    <w:rsid w:val="00040431"/>
    <w:rsid w:val="00042FF5"/>
    <w:rsid w:val="00046F7D"/>
    <w:rsid w:val="000E05A7"/>
    <w:rsid w:val="001C51E1"/>
    <w:rsid w:val="001D2DD4"/>
    <w:rsid w:val="00530DFA"/>
    <w:rsid w:val="005361BC"/>
    <w:rsid w:val="00685BB6"/>
    <w:rsid w:val="008E21ED"/>
    <w:rsid w:val="0090095A"/>
    <w:rsid w:val="009B3C3C"/>
    <w:rsid w:val="00C24717"/>
    <w:rsid w:val="00DE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AB71C"/>
  <w15:chartTrackingRefBased/>
  <w15:docId w15:val="{AC5A039D-E0F0-4BB9-AAB2-7C0192445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51E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1E1"/>
  </w:style>
  <w:style w:type="paragraph" w:styleId="Footer">
    <w:name w:val="footer"/>
    <w:basedOn w:val="Normal"/>
    <w:link w:val="FooterChar"/>
    <w:uiPriority w:val="99"/>
    <w:unhideWhenUsed/>
    <w:rsid w:val="001C51E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1E1"/>
  </w:style>
  <w:style w:type="character" w:styleId="Emphasis">
    <w:name w:val="Emphasis"/>
    <w:basedOn w:val="DefaultParagraphFont"/>
    <w:uiPriority w:val="20"/>
    <w:qFormat/>
    <w:rsid w:val="005361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2020-12-09T21:20:00Z</dcterms:created>
  <dcterms:modified xsi:type="dcterms:W3CDTF">2020-12-09T22:20:00Z</dcterms:modified>
</cp:coreProperties>
</file>